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716.0" w:type="dxa"/>
        <w:jc w:val="left"/>
        <w:tblInd w:w="-360.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9716"/>
        <w:tblGridChange w:id="0">
          <w:tblGrid>
            <w:gridCol w:w="9716"/>
          </w:tblGrid>
        </w:tblGridChange>
      </w:tblGrid>
      <w:tr>
        <w:trPr>
          <w:cantSplit w:val="0"/>
          <w:trHeight w:val="2159"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4995"/>
              </w:tabs>
              <w:spacing w:after="0" w:before="0" w:line="240" w:lineRule="auto"/>
              <w:ind w:left="0" w:right="34" w:firstLine="0"/>
              <w:jc w:val="left"/>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UkrainianBaltica" w:cs="UkrainianBaltica" w:eastAsia="UkrainianBaltica" w:hAnsi="UkrainianBaltica"/>
                <w:b w:val="0"/>
                <w:i w:val="0"/>
                <w:smallCaps w:val="0"/>
                <w:strike w:val="0"/>
                <w:color w:val="000000"/>
                <w:sz w:val="20"/>
                <w:szCs w:val="20"/>
                <w:u w:val="none"/>
                <w:shd w:fill="auto" w:val="clear"/>
                <w:vertAlign w:val="baseline"/>
              </w:rPr>
              <w:drawing>
                <wp:inline distB="0" distT="0" distL="114300" distR="114300">
                  <wp:extent cx="523875" cy="722630"/>
                  <wp:effectExtent b="0" l="0" r="0" t="0"/>
                  <wp:docPr id="1027"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23875" cy="72263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ПРОЄКТ РІШЕННЯ</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101601</wp:posOffset>
                      </wp:positionH>
                      <wp:positionV relativeFrom="paragraph">
                        <wp:posOffset>0</wp:posOffset>
                      </wp:positionV>
                      <wp:extent cx="0" cy="19050"/>
                      <wp:effectExtent b="0" l="0" r="0" t="0"/>
                      <wp:wrapNone/>
                      <wp:docPr id="1026" name=""/>
                      <a:graphic>
                        <a:graphicData uri="http://schemas.microsoft.com/office/word/2010/wordprocessingShape">
                          <wps:wsp>
                            <wps:cNvCnPr/>
                            <wps:spPr>
                              <a:xfrm>
                                <a:off x="2202750" y="3780000"/>
                                <a:ext cx="6286500" cy="0"/>
                              </a:xfrm>
                              <a:prstGeom prst="straightConnector1">
                                <a:avLst/>
                              </a:prstGeom>
                              <a:noFill/>
                              <a:ln cap="flat" cmpd="sng" w="19050">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0</wp:posOffset>
                      </wp:positionV>
                      <wp:extent cx="0" cy="19050"/>
                      <wp:effectExtent b="0" l="0" r="0" t="0"/>
                      <wp:wrapNone/>
                      <wp:docPr id="1026"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9050"/>
                              </a:xfrm>
                              <a:prstGeom prst="rect"/>
                              <a:ln/>
                            </pic:spPr>
                          </pic:pic>
                        </a:graphicData>
                      </a:graphic>
                    </wp:anchor>
                  </w:drawing>
                </mc:Fallback>
              </mc:AlternateContent>
            </w:r>
          </w:p>
        </w:tc>
      </w:tr>
    </w:tbl>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____.______.2022           </w:t>
        <w:tab/>
        <w:t xml:space="preserve"> м. Сквира </w:t>
        <w:tab/>
        <w:tab/>
        <w:tab/>
        <w:tab/>
        <w:t xml:space="preserve">№ __/__</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10" w:right="1134" w:hanging="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w:t>
      </w: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Програми організації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суспільно корисних робіт для порушників,</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на яких судом накладено адміністративне стягнення</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у вигляді виконання суспільно корисних робіт,</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у Сквирській міській територіальній громаді</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 на 2023-2025 роки</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993"/>
        </w:tabs>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виконання Закону України від 07.12.2017 №2234-VIII «Про внесення змін до деяких законодавчих актів України щодо посилення захисту прав дитини на належне утримання шляхом вдосконалення порядку примусового стягнення заборгованості зі сплати аліментів»,  відповідно до ст.31-1, ст. 325-1, ст. 325-3 Кодексу України про адміністративні правопорушення, наказу Міністерства </w:t>
      </w:r>
      <w:r w:rsidDel="00000000" w:rsidR="00000000" w:rsidRPr="00000000">
        <w:rPr>
          <w:rFonts w:ascii="Times New Roman" w:cs="Times New Roman" w:eastAsia="Times New Roman" w:hAnsi="Times New Roman"/>
          <w:sz w:val="28"/>
          <w:szCs w:val="28"/>
          <w:rtl w:val="0"/>
        </w:rPr>
        <w:t xml:space="preserve">юстиції України від 21.03.2013 № 474/5 «Про затвердження Порядку виконання адміністративних стягнень у вигляді громадських робіт, виправних робіт та суспільно корисних робіт» (із змінами),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пунктом 22, статтею 59 Закону України «Про місцеве самоврядування в Україні», враховуючи рекомендації постійних комісій Сквирської міської ради, Сквирська міська рада VIII скликання</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ВИРІШИЛА:</w:t>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142"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Затвердити </w:t>
      </w: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Програму організації суспільно корисних робіт для порушників, на яких судом накладено адміністративне стягнення у вигляді виконання суспільно корисних робіт, у Сквирській міській територіальній громаді  на 2023-2025 роки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(додаток).</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Обсяг фінансування </w:t>
      </w: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Програми організації суспільно корисних робіт для порушників, на яких судом накладено адміністративне стягнення у вигляді виконання суспільно корисних робіт, у Сквирській міській територіальній громаді  на 2023-2025 роки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визначається рішенняи сесії «Про бюджет Сквирської міської територіальної  громади (код бюджету 10561000000)» на відповідний бюджетний період з урахуванням відповідних змін.</w:t>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708"/>
        <w:jc w:val="both"/>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3</w:t>
      </w:r>
      <w:r w:rsidDel="00000000" w:rsidR="00000000" w:rsidRPr="00000000">
        <w:rPr>
          <w:rFonts w:ascii="Calibri" w:cs="Calibri" w:eastAsia="Calibri" w:hAnsi="Calibri"/>
          <w:b w:val="0"/>
          <w:i w:val="0"/>
          <w:smallCaps w:val="0"/>
          <w:strike w:val="0"/>
          <w:sz w:val="32"/>
          <w:szCs w:val="3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Контроль за виконанням Програми покласти на постійн</w:t>
      </w:r>
      <w:r w:rsidDel="00000000" w:rsidR="00000000" w:rsidRPr="00000000">
        <w:rPr>
          <w:rFonts w:ascii="Times New Roman" w:cs="Times New Roman" w:eastAsia="Times New Roman" w:hAnsi="Times New Roman"/>
          <w:sz w:val="28"/>
          <w:szCs w:val="28"/>
          <w:rtl w:val="0"/>
        </w:rPr>
        <w:t xml:space="preserve">і</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комісі</w:t>
      </w:r>
      <w:r w:rsidDel="00000000" w:rsidR="00000000" w:rsidRPr="00000000">
        <w:rPr>
          <w:rFonts w:ascii="Times New Roman" w:cs="Times New Roman" w:eastAsia="Times New Roman" w:hAnsi="Times New Roman"/>
          <w:sz w:val="28"/>
          <w:szCs w:val="28"/>
          <w:rtl w:val="0"/>
        </w:rPr>
        <w:t xml:space="preserve">ї</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з питань регламенту, депутатської етики, </w:t>
      </w:r>
      <w:r w:rsidDel="00000000" w:rsidR="00000000" w:rsidRPr="00000000">
        <w:rPr>
          <w:rFonts w:ascii="Times New Roman" w:cs="Times New Roman" w:eastAsia="Times New Roman" w:hAnsi="Times New Roman"/>
          <w:sz w:val="28"/>
          <w:szCs w:val="28"/>
          <w:rtl w:val="0"/>
        </w:rPr>
        <w:t xml:space="preserve">законності та правопорядку та з питань планування бюджету та фінансів, соціально-економічного розвитку.</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709"/>
        </w:tabs>
        <w:spacing w:after="0" w:before="0" w:line="276"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Валентина ЛЕВІЦЬКА</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 :</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 xml:space="preserve">        Людмила СЕРГІЄНКО</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                                  Валентина БАЧИНСЬКА</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                     Віктор САЛТАНЮК</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30"/>
        </w:tabs>
        <w:spacing w:after="0" w:before="0" w:line="240" w:lineRule="auto"/>
        <w:ind w:left="0" w:right="0" w:firstLine="0"/>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 Директора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3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КП “Сквираблагоустрій”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…………Олександр ПІНЧУК</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372" w:right="0" w:firstLine="707.999999999999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372" w:right="0" w:firstLine="707.999999999999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372" w:right="0" w:firstLine="707.999999999999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372" w:right="0" w:firstLine="707.999999999999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372" w:right="0" w:firstLine="707.999999999999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372" w:right="0" w:firstLine="707.999999999999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372" w:right="0" w:firstLine="707.999999999999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372" w:right="0" w:firstLine="707.999999999999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372" w:right="0" w:firstLine="707.999999999999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Додаток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рішення Сквирської міської ради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 «___» грудня 2022 року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___-___VIIІ</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Програма</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організації суспільно корисних робіт для порушників,</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на яких судом накладено адміністративне стягнення</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у вигляді виконання суспільно корисних робіт,</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у Сквирській міській територіальній громаді</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 на 2023-2025 роки</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36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t xml:space="preserve">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Загальна характеристика Програми</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36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
        <w:tblW w:w="963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5"/>
        <w:gridCol w:w="3652"/>
        <w:gridCol w:w="5492"/>
        <w:tblGridChange w:id="0">
          <w:tblGrid>
            <w:gridCol w:w="495"/>
            <w:gridCol w:w="3652"/>
            <w:gridCol w:w="5492"/>
          </w:tblGrid>
        </w:tblGridChange>
      </w:tblGrid>
      <w:tr>
        <w:trPr>
          <w:cantSplit w:val="0"/>
          <w:trHeight w:val="90" w:hRule="atLeast"/>
          <w:tblHeader w:val="0"/>
        </w:trPr>
        <w:tc>
          <w:tcPr>
            <w:vAlign w:val="top"/>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Ініціатор розроблення Програми</w:t>
            </w:r>
          </w:p>
        </w:tc>
        <w:tc>
          <w:tcPr>
            <w:vAlign w:val="top"/>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w:t>
            </w:r>
          </w:p>
        </w:tc>
      </w:tr>
      <w:tr>
        <w:trPr>
          <w:cantSplit w:val="0"/>
          <w:trHeight w:val="527" w:hRule="atLeast"/>
          <w:tblHeader w:val="0"/>
        </w:trPr>
        <w:tc>
          <w:tcPr>
            <w:vAlign w:val="top"/>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Дата, номер і назва законодавчих документів щодо формування Програми</w:t>
            </w:r>
          </w:p>
        </w:tc>
        <w:tc>
          <w:tcPr>
            <w:vAlign w:val="top"/>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 України від 07.12.2017 року №2234-VIII «Про внесення змін до деяких законодавчих актів України щодо посилення захисту прав дитини на належне утримання шляхом вдосконалення порядку примусового стягнення заборгованості зі сплати аліментів»,  Кодексу України про адміністративні правопорушення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90" w:hRule="atLeast"/>
          <w:tblHeader w:val="0"/>
        </w:trPr>
        <w:tc>
          <w:tcPr>
            <w:vAlign w:val="top"/>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vAlign w:val="top"/>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Розробник Програми</w:t>
            </w:r>
          </w:p>
        </w:tc>
        <w:tc>
          <w:tcPr>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Білоцерківський районний відділ №3 філії Державної установи «Центр пробацій» у місті Києві та Київській області</w:t>
            </w:r>
          </w:p>
        </w:tc>
      </w:tr>
      <w:tr>
        <w:trPr>
          <w:cantSplit w:val="0"/>
          <w:trHeight w:val="271" w:hRule="atLeast"/>
          <w:tblHeader w:val="0"/>
        </w:trPr>
        <w:tc>
          <w:tcPr>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Align w:val="top"/>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Відповідальний</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виконавець Програми</w:t>
            </w:r>
          </w:p>
        </w:tc>
        <w:tc>
          <w:tcPr>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w:t>
            </w:r>
          </w:p>
        </w:tc>
      </w:tr>
      <w:tr>
        <w:trPr>
          <w:cantSplit w:val="0"/>
          <w:trHeight w:val="90" w:hRule="atLeast"/>
          <w:tblHeader w:val="0"/>
        </w:trPr>
        <w:tc>
          <w:tcPr>
            <w:vAlign w:val="top"/>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top"/>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Учасники Програми</w:t>
            </w:r>
          </w:p>
        </w:tc>
        <w:tc>
          <w:tcPr>
            <w:vAlign w:val="top"/>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11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КП «Сквираблагоустрій»,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11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КП «Сквирське комунальне господарство»,</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11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КП «Сквир-водоканал»</w:t>
            </w:r>
          </w:p>
        </w:tc>
      </w:tr>
      <w:tr>
        <w:trPr>
          <w:cantSplit w:val="0"/>
          <w:trHeight w:val="441" w:hRule="atLeast"/>
          <w:tblHeader w:val="0"/>
        </w:trPr>
        <w:tc>
          <w:tcPr>
            <w:vAlign w:val="top"/>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vAlign w:val="top"/>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Термін реалізації Програми</w:t>
            </w:r>
          </w:p>
        </w:tc>
        <w:tc>
          <w:tcPr>
            <w:vAlign w:val="top"/>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2023– 2025 роки</w:t>
            </w:r>
          </w:p>
        </w:tc>
      </w:tr>
      <w:tr>
        <w:trPr>
          <w:cantSplit w:val="0"/>
          <w:trHeight w:val="367" w:hRule="atLeast"/>
          <w:tblHeader w:val="0"/>
        </w:trPr>
        <w:tc>
          <w:tcPr>
            <w:vAlign w:val="top"/>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c>
          <w:tcPr>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Перелік місцевих бюджетів, які беруть участь у виконанні Програми </w:t>
            </w:r>
          </w:p>
        </w:tc>
        <w:tc>
          <w:tcPr>
            <w:vAlign w:val="top"/>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міського бюджету</w:t>
            </w:r>
          </w:p>
        </w:tc>
      </w:tr>
      <w:tr>
        <w:trPr>
          <w:cantSplit w:val="0"/>
          <w:trHeight w:val="972" w:hRule="atLeast"/>
          <w:tblHeader w:val="0"/>
        </w:trPr>
        <w:tc>
          <w:tcPr>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c>
          <w:tcPr>
            <w:vAlign w:val="top"/>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Загальний обсяг фінансових ресурсів, необхідних для реалізації Програми </w:t>
            </w:r>
          </w:p>
        </w:tc>
        <w:tc>
          <w:tcPr>
            <w:vAlign w:val="top"/>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ff6600"/>
                <w:sz w:val="28"/>
                <w:szCs w:val="28"/>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межах кошторисних призначень на відповідний бюджетний рік</w:t>
            </w:r>
            <w:r w:rsidDel="00000000" w:rsidR="00000000" w:rsidRPr="00000000">
              <w:rPr>
                <w:rtl w:val="0"/>
              </w:rPr>
            </w:r>
          </w:p>
        </w:tc>
      </w:tr>
      <w:tr>
        <w:trPr>
          <w:cantSplit w:val="0"/>
          <w:trHeight w:val="322" w:hRule="atLeast"/>
          <w:tblHeader w:val="0"/>
        </w:trPr>
        <w:tc>
          <w:tcPr>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w:t>
            </w:r>
          </w:p>
        </w:tc>
        <w:tc>
          <w:tcPr>
            <w:vAlign w:val="top"/>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Основні джерела фінансування</w:t>
            </w:r>
          </w:p>
        </w:tc>
        <w:tc>
          <w:tcPr>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міського бюджету, інші джерела не заборонені законодавством</w:t>
            </w:r>
          </w:p>
        </w:tc>
      </w:tr>
    </w:tbl>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ст.ст. 26, 38, 59  України «Про місцеве самоврядування в Україні», Закону України від 07.12.2017 року №2234-VIII «Про внесення змін до деяких законодавчих актів України щодо посилення захисту прав дитини на належне утримання шляхом вдосконалення порядку примусового стягнення заборгованості зі сплати аліментів», на виконання статей 31-1, 325-1, 325-4  Кодексу України про адміністративні правопорушення  в інтересах захисту прав дітей на утримання організовуються оплачувані суспільно корисні роботи, для осіб на яких судом призначено стягнення покарання у вигляді суспільно корисних робіт. Ці роботи є видом оплачуваних суспільно корисних робіт, які організовуються для реалізації державної політики  захисту прав та інтересів дітей на належне утримання  та примусового стягнення заборгованості зі сплати аліментів.</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порушення вимог вищезазначених законодавчих актів України передбачено адміністративне стягнення у вигляді виконання  суспільно-корисних робіт особою, яка вчинила адміністративне правопорушення. Фінансування організації оплачуваних суспільно корисних робіт для порушників, на яких судом накладено адміністративне стягнення у вигляді суспільно корисних робіт, здійснюється за рахунок коштів міського бюджету та інших, не заборонених законодавством джерел.</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зв’язку з цим,  є необхідність в прийнятті Програми організації суспільно корисних робіт, для порушників, на яких судом накладено адміністративне стягнення у вигляді виконання суспільно корисних робіт, в якій затвердити види суспільно корисних робіт та перелік об’єктів, підприємств, установ і організацій, на яких проводитимуться оплачувані суспільно корисні роботи за рахунок фінансування коштів міського бюджету.</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ІІ. Проблеми, на розв’язання яких спрямована Програма</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1980"/>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bookmarkStart w:colFirst="0" w:colLast="0" w:name="bookmark=id.gjdgxs" w:id="0"/>
      <w:bookmarkEnd w:id="0"/>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 метою реалізації у 2023-2025 роках норм Закону України від 07.12.2017 року №2234-VIII «Про внесення змін до деяких законодавчих актів України щодо посилення захисту прав дитини на належне утримання шляхом вдосконалення порядку примусового стягнення заборгованості зі сплати аліментів», необхідно дотримуватися вимог нормативно-правових документів, а саме:</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Статей  31-1, 325-1, 325-4  Кодексу України про адміністративні правопорушення.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Договору про відпрацювання суспільно корисних робіт між учасниками програми – роботодавцями та порушником.</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Програма передбачає забезпечення виконання норм та вимог вищевказаних законодавчих актів при відпрацюванні порушниками суспільно корисних робіт за направленням Білоцерківського районного відділу №3 філії Державної установи «Центр пробацій» у місті Києві та Київській області.</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ІІІ. Мета Програми</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Метою Програми є вирішення пріоритетних завдань державної політики у сфері забезпечення захисту прав дитини на належне утримання шляхом вдосконалення порядку примусового стягнення заборгованості зі сплати аліментів.</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ІV. Шляхи і способи розв’язання проблем</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Шляхами і способами розв’язання проблем є:</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організація відпрацювання порушниками адміністративного стягнення у вигляді суспільно корисних робіт та примусового стягнення заборгованості зі сплати аліментів в інтересах захисту прав та інтересів дітей;</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ведення обліку осіб (порушників) направлених  Білоцерківським районним відділом №3 філії Державної установи «Центр пробацій» у місті Києві та Київській області на відбування покарання у вигляді суспільно корисних робіт;</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вивчення питання щодо необхідності забезпечення інвентарем та іншими засобами праці для проведення суспільно корисних робіт.</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Перелік підприємств, установ та організацій, на яких планується проведення суспільно корисних робіт:</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0" w:line="240" w:lineRule="auto"/>
        <w:ind w:left="1444" w:right="0" w:hanging="3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Комунальне підприємство «Сквираблагоустрій»;</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0" w:line="240" w:lineRule="auto"/>
        <w:ind w:left="1444" w:right="0" w:hanging="3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Комунальне підприємство «Сквирське комунальне господарство»;</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0" w:line="240" w:lineRule="auto"/>
        <w:ind w:left="1444" w:right="0" w:hanging="3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Комунальне підприємство «Сквир-водоканал».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Перелік видів оплачуваних суспільно корисних робіт некваліфікованої трудової діяльності, що не пов’язані з ризиком для життя, які відповідають потребам громади, мають суспільно корисну спрямованість та сприяють їх</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соціальному розвитку на території Сквирської міської територіальної громади:</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 благоустрій місць загального користування – прибирання шляхів, парків, тротуарів, пішохідних доріжок, сходинок, містків, вулиць, берегів водойм та інших територій від палого листя, сміття, снігу і льоду, прибирання кладовищ, покіс трави, боротьба з карантинними бур’янами, просапка клумб, вантажно-розвантажувальні роботи, розчистка снігу з тротуарів, посипання тротуарів протиожеледною сумішшю в зимовий період, тощо,  впорядкування територій населених пунктів, з метою ліквідації наслідків надзвичайних ситуацій, визнаних рішеннями органів виконавчої влади,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  благоустрій прибудинкових територій житлового фонду- прибирання, очищення сходових кліток та вестибюлів, збирання сміття та вторинних матеріалів, розчистка, зсування снігу, очистка тротуарів скребком від ущільненого снігу та льодових напливів, посипання доріжок та тротуарів протиожеледною сумішшю, виконання малярних робіт, очищення від несанкціонованої реклами, оголошень, бруду тощо;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 робити по впорядкуванню території водопровідного та каналізаційного господарства на території громади – прибирання території, розчистка снігу, посипання протиожеледною сумішшю,  ручні земляні роботи тощо;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 виконання будь-яких суспільно корисних видів тимчасових робіт, пов’язаних з господарською діяльністю підприємств, установ, організацій, та для яких не можуть бути використані робочі місця та вакансії.</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Підприємства, установи і організації, на яких планується проведення суспільно корисних робіт:</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   видають накази або розпорядження про початок відпрацювання суспільно корисних робіт;</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 закріплюють за особами, які відбувають суспільно корисні роботи,  відповідальних осіб на весь строк визначених робіт;</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 укладають з направленими особами, на відпрацювання суспільно корисних робіт, тимчасові  трудові договори на участь в суспільно корисних роботах;</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 інформують порушників про умови, режим роботи, оплату праці  на підприємстві, в організації, установі;</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4.4  здійснюють облік відпрацювання робочого часу порушником;</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 оформляють  звітну документацію на оплату праці порушників, зайнятих на суспільно корисних роботах, та перерахування заробітку або частки заробітку, відповідно до діючого законодавства, на відповідний рахунок органу державної виконавчої служби для погашення заборгованості зі сплати аліментів.</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 Завдання та заходи Програми</w:t>
      </w:r>
      <w:r w:rsidDel="00000000" w:rsidR="00000000" w:rsidRPr="00000000">
        <w:rPr>
          <w:rtl w:val="0"/>
        </w:rPr>
      </w:r>
    </w:p>
    <w:tbl>
      <w:tblPr>
        <w:tblStyle w:val="Table3"/>
        <w:tblW w:w="992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3389"/>
        <w:gridCol w:w="1004"/>
        <w:gridCol w:w="1134"/>
        <w:tblGridChange w:id="0">
          <w:tblGrid>
            <w:gridCol w:w="4395"/>
            <w:gridCol w:w="3389"/>
            <w:gridCol w:w="1004"/>
            <w:gridCol w:w="1134"/>
          </w:tblGrid>
        </w:tblGridChange>
      </w:tblGrid>
      <w:tr>
        <w:trPr>
          <w:cantSplit w:val="0"/>
          <w:trHeight w:val="94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4145"/>
              </w:tabs>
              <w:spacing w:after="0" w:before="0" w:line="240" w:lineRule="auto"/>
              <w:ind w:left="0" w:right="0" w:firstLine="851"/>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Назва заходу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Виконавець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Джерело фінансування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Обсяги фінансування</w:t>
            </w:r>
          </w:p>
        </w:tc>
      </w:tr>
      <w:tr>
        <w:trPr>
          <w:cantSplit w:val="0"/>
          <w:trHeight w:val="109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Підготовка документації з питань проходження порушником суспільно корисних робіт (наказ, графік виходу на роботу, табель виходу на роботу тощо)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«Сквираблагоустрій»,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«Сквирське комунальне господарство»,</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«Сквир-водоканал»</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потребує фінансування</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Своєчасно повідомляти Білоцерківський районний відділ №3 філії Державної установи «Центр пробацій» у місті Києві та Київській області про ухилення порушника хід виконання суспільно корисних робіт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«Сквираблагоустрій»,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«Сквирське комунальне господарство»,</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«Сквир-водоканал»</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потребує фінансування</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Інформувати порушників про умови, режим роботи, оплату праці  на підприємстві, в організації, установі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«Сквираблагоустрій»,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«Сквирське комунальне господарство»,</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«Сквир-водоканал»</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потребує фінансування</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Здійснювати контроль за  виконанням порушниками призначених їм робіт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«Сквираблагоустрій»,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«Сквирське комунальне господарство»,</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«Сквир-водоканал»</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потребує фінансування</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Своєчасно повідомляти Білоцерківський районний відділ №3 філії Державної установи «Центр пробацій» у місті Києві та Київській області про ухилення порушника хід виконання суспільно корисних робіт про кількість відпрацьованих годин порушником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«Сквираблагоустрій»,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«Сквирське комунальне господарство»,</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«Сквир-водоканал»</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потребує фінансування</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Нараховувати плату порушнику за виконання суспільно корисних робіт та перерахування її на відповідний рахунок Державної виконавчої служби для погашення заборгованості зі сплати аліментів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«Сквираблагоустрій»,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«Сквирське комунальне господарство»,</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КП «Сквир-водоканал»</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межах кошторисних призначеь</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Здійснювати компенсацію витрат роботодавців,  на  проведення суспільно корисних робіт  порушниками за рахунок коштів міського бюджету згідно з поданими розрахунками (кошторисом, табелем обліку кількості відпрацьованих порушником годин) в частині оплати праці порушнику.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Сквирська міська рада</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бюджет</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межах кошторисних призначеь</w:t>
            </w:r>
          </w:p>
        </w:tc>
      </w:tr>
    </w:tbl>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Ресурсне забезпечення Програми</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Фінансування суспільно корисних робіт проводиться за рахунок коштів міського бюджету  згідно з кошторисом  витрат на оплату праці осіб та інших незаборонених законодавством джерел</w:t>
      </w: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Підґрунтям для розрахунку коштів, необхідних на організацію оплачуваних суспільно корисних робіт, для порушників на яких судом накладено адміністративне стягнення у вигляді суспільно корисних робіт є:</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кількість осіб, порушників направлених на суспільно корисні роботи Білоцерківським районним відділом №3 філії Державної установи «Центр пробацій» у місті Києві та Київській області;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 перелік об’єктів, підприємств, установ та організацій на яких планується проведення суспільно корисних робіт, для осіб (порушників) на яких судом накладено стягнення покарання у вигляді суспільно-корисних робіт,  за рахунок фінансування з міського бюджету;</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перелік видів оплачуваних суспільно корисних робіт, для осіб на яких судом призначено стягнення покарання у вигляді суспільно корисних робіт на території Сквирської міської громади.</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 обліку, розрахунків, кошторису витрат на оплату праці за виконання суспільно-корисних робіт;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 нарахування оплати праці порушнику за виконання суспільно корисних робіт та перерахування її на відповідний рахунок органу державної виконавчої служби для подальшого погашення заборгованості зі сплати аліментів.</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10065.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1"/>
        <w:gridCol w:w="1701"/>
        <w:gridCol w:w="1701"/>
        <w:gridCol w:w="1701"/>
        <w:gridCol w:w="2551"/>
        <w:tblGridChange w:id="0">
          <w:tblGrid>
            <w:gridCol w:w="2411"/>
            <w:gridCol w:w="1701"/>
            <w:gridCol w:w="1701"/>
            <w:gridCol w:w="1701"/>
            <w:gridCol w:w="2551"/>
          </w:tblGrid>
        </w:tblGridChange>
      </w:tblGrid>
      <w:tr>
        <w:trPr>
          <w:cantSplit w:val="0"/>
          <w:tblHeader w:val="0"/>
        </w:trPr>
        <w:tc>
          <w:tcPr>
            <w:vAlign w:val="top"/>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Обсяг коштів, які пропонується залучити на виконання Програми</w:t>
            </w:r>
          </w:p>
        </w:tc>
        <w:tc>
          <w:tcPr>
            <w:vAlign w:val="top"/>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2023</w:t>
            </w:r>
          </w:p>
        </w:tc>
        <w:tc>
          <w:tcPr>
            <w:vAlign w:val="top"/>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2024</w:t>
            </w:r>
          </w:p>
        </w:tc>
        <w:tc>
          <w:tcPr>
            <w:vAlign w:val="top"/>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2025</w:t>
            </w:r>
          </w:p>
        </w:tc>
        <w:tc>
          <w:tcPr>
            <w:vAlign w:val="top"/>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Всього витрат на виконання Програми, тис. грн</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Обсяг ресурсів усього, </w:t>
              <w:br w:type="textWrapping"/>
              <w:t xml:space="preserve">тис. грн.</w:t>
            </w:r>
          </w:p>
        </w:tc>
        <w:tc>
          <w:tcPr>
            <w:vAlign w:val="top"/>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В межах кошторисних призначень</w:t>
            </w:r>
          </w:p>
        </w:tc>
        <w:tc>
          <w:tcPr>
            <w:vAlign w:val="top"/>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В межах кошторисних призначень</w:t>
            </w:r>
          </w:p>
        </w:tc>
        <w:tc>
          <w:tcPr>
            <w:vAlign w:val="top"/>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В межах кошторисних призначень</w:t>
            </w:r>
          </w:p>
        </w:tc>
        <w:tc>
          <w:tcPr>
            <w:vAlign w:val="top"/>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В межах кошторисних призначень</w:t>
            </w:r>
            <w:r w:rsidDel="00000000" w:rsidR="00000000" w:rsidRPr="00000000">
              <w:rPr>
                <w:rtl w:val="0"/>
              </w:rPr>
            </w:r>
          </w:p>
        </w:tc>
      </w:tr>
      <w:tr>
        <w:trPr>
          <w:cantSplit w:val="0"/>
          <w:tblHeader w:val="0"/>
        </w:trPr>
        <w:tc>
          <w:tcPr>
            <w:vAlign w:val="top"/>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Бюджет міської  ради тис. грн</w:t>
            </w:r>
          </w:p>
        </w:tc>
        <w:tc>
          <w:tcPr>
            <w:vAlign w:val="top"/>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В межах кошторисних призначень</w:t>
            </w:r>
          </w:p>
        </w:tc>
        <w:tc>
          <w:tcPr>
            <w:vAlign w:val="top"/>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В межах кошторисних призначень</w:t>
            </w:r>
          </w:p>
        </w:tc>
        <w:tc>
          <w:tcPr>
            <w:vAlign w:val="top"/>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В межах кошторисних призначень</w:t>
            </w:r>
          </w:p>
        </w:tc>
        <w:tc>
          <w:tcPr>
            <w:vAlign w:val="top"/>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В межах кошторисних призначень</w:t>
            </w:r>
            <w:r w:rsidDel="00000000" w:rsidR="00000000" w:rsidRPr="00000000">
              <w:rPr>
                <w:rtl w:val="0"/>
              </w:rPr>
            </w:r>
          </w:p>
        </w:tc>
      </w:tr>
      <w:tr>
        <w:trPr>
          <w:cantSplit w:val="0"/>
          <w:tblHeader w:val="0"/>
        </w:trPr>
        <w:tc>
          <w:tcPr>
            <w:vAlign w:val="top"/>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5"/>
                <w:szCs w:val="25"/>
                <w:u w:val="none"/>
                <w:shd w:fill="auto" w:val="clear"/>
                <w:vertAlign w:val="baseline"/>
                <w:rtl w:val="0"/>
              </w:rPr>
              <w:t xml:space="preserve">Інші джерела</w:t>
            </w:r>
          </w:p>
        </w:tc>
        <w:tc>
          <w:tcPr>
            <w:vAlign w:val="top"/>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Термін дії Програми – три роки (2023-2025).</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VІІ. Використання коштів</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708.0000000000001"/>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Фінансування видатків за напрямами Програми здійснюється з міського бюджету в межах фінансових можливостей, а саме:</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427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427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нарахування та оплата праці за виконання оплачуваних суспільно корисних робіт, особам направленим на відбування адміністративного стягнення у вигляді суспільно корисних робіт;</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427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427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перерахування плати на відповідний рахунок органу державної виконавчої служби для подальшого погашення заборгованості зі сплати аліментів;</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витрати на придбання інвентаря та інших засобів для організації виконання суспільно корисних робіт.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Не допускається спрямування бюджетних коштів за напрямами (завданнями та заходами), не передбаченими Програмою, реалізацію завдань і заходів, метою яких є отримання прибутку або виконання яких не може забезпечити ефективну реалізацію державної політики у сфері захисту прав та інтересів дітей та примусового стягнення зі сплати аліментів боржниками (порушниками) на яких судом накладено адміністративне стягнення у вигляді суспільно корисних робіт.</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09" w:right="0" w:hanging="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09" w:right="0" w:hanging="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VІІІ. Очікувані  результати</w:t>
      </w:r>
      <w:r w:rsidDel="00000000" w:rsidR="00000000" w:rsidRPr="00000000">
        <w:rPr>
          <w:rtl w:val="0"/>
        </w:rPr>
      </w:r>
    </w:p>
    <w:bookmarkStart w:colFirst="0" w:colLast="0" w:name="bookmark=id.30j0zll" w:id="1"/>
    <w:bookmarkEnd w:id="1"/>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виконання вимог Законодавчих актів України, щодо виконання порушниками адміністративного стягнення у вигляді суспільно корисних робіт, в інтересах захисту прав та інтересів дітей та примусового стягнення заборгованості зі сплати аліментів боржниками. </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ІХ. Координація та контроль за ходом виконання Програми</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Координація діяльності  та контроль за виконанням Програми організації суспільно корисних робіт для порушників, на яких судом накладено адміністративне стягнення у вигляді виконання суспільно корисних робіт в Сквирській міській територіальній громаді на 2022-2025 роки  покладається </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на постійну комісію міської ради з питань прав людини, законності, депутатської діяльності, етики, регламенту та місцевого самоврядування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Білоцерківський районний відділ №3 філії Державної установи «Центр пробацій» у місті Києві та Київській області.</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Сквирської міської ради </w:t>
        <w:tab/>
        <w:tab/>
        <w:tab/>
        <w:tab/>
        <w:t xml:space="preserve">Тетяна ВЛАСЮК</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851" w:top="709" w:left="1418" w:right="84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UkrainianBaltica"/>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75" w:hanging="375"/>
      </w:pPr>
      <w:rPr>
        <w:vertAlign w:val="baseline"/>
      </w:rPr>
    </w:lvl>
    <w:lvl w:ilvl="1">
      <w:start w:val="1"/>
      <w:numFmt w:val="decimal"/>
      <w:lvlText w:val="%1.%2"/>
      <w:lvlJc w:val="left"/>
      <w:pPr>
        <w:ind w:left="1444" w:hanging="375"/>
      </w:pPr>
      <w:rPr>
        <w:vertAlign w:val="baseline"/>
      </w:rPr>
    </w:lvl>
    <w:lvl w:ilvl="2">
      <w:start w:val="1"/>
      <w:numFmt w:val="decimal"/>
      <w:lvlText w:val="%1.%2.%3"/>
      <w:lvlJc w:val="left"/>
      <w:pPr>
        <w:ind w:left="2858" w:hanging="720"/>
      </w:pPr>
      <w:rPr>
        <w:vertAlign w:val="baseline"/>
      </w:rPr>
    </w:lvl>
    <w:lvl w:ilvl="3">
      <w:start w:val="1"/>
      <w:numFmt w:val="decimal"/>
      <w:lvlText w:val="%1.%2.%3.%4"/>
      <w:lvlJc w:val="left"/>
      <w:pPr>
        <w:ind w:left="4287" w:hanging="1080"/>
      </w:pPr>
      <w:rPr>
        <w:vertAlign w:val="baseline"/>
      </w:rPr>
    </w:lvl>
    <w:lvl w:ilvl="4">
      <w:start w:val="1"/>
      <w:numFmt w:val="decimal"/>
      <w:lvlText w:val="%1.%2.%3.%4.%5"/>
      <w:lvlJc w:val="left"/>
      <w:pPr>
        <w:ind w:left="5356" w:hanging="1080"/>
      </w:pPr>
      <w:rPr>
        <w:vertAlign w:val="baseline"/>
      </w:rPr>
    </w:lvl>
    <w:lvl w:ilvl="5">
      <w:start w:val="1"/>
      <w:numFmt w:val="decimal"/>
      <w:lvlText w:val="%1.%2.%3.%4.%5.%6"/>
      <w:lvlJc w:val="left"/>
      <w:pPr>
        <w:ind w:left="6785" w:hanging="1440"/>
      </w:pPr>
      <w:rPr>
        <w:vertAlign w:val="baseline"/>
      </w:rPr>
    </w:lvl>
    <w:lvl w:ilvl="6">
      <w:start w:val="1"/>
      <w:numFmt w:val="decimal"/>
      <w:lvlText w:val="%1.%2.%3.%4.%5.%6.%7"/>
      <w:lvlJc w:val="left"/>
      <w:pPr>
        <w:ind w:left="7854" w:hanging="1440"/>
      </w:pPr>
      <w:rPr>
        <w:vertAlign w:val="baseline"/>
      </w:rPr>
    </w:lvl>
    <w:lvl w:ilvl="7">
      <w:start w:val="1"/>
      <w:numFmt w:val="decimal"/>
      <w:lvlText w:val="%1.%2.%3.%4.%5.%6.%7.%8"/>
      <w:lvlJc w:val="left"/>
      <w:pPr>
        <w:ind w:left="9283" w:hanging="1800"/>
      </w:pPr>
      <w:rPr>
        <w:vertAlign w:val="baseline"/>
      </w:rPr>
    </w:lvl>
    <w:lvl w:ilvl="8">
      <w:start w:val="1"/>
      <w:numFmt w:val="decimal"/>
      <w:lvlText w:val="%1.%2.%3.%4.%5.%6.%7.%8.%9"/>
      <w:lvlJc w:val="left"/>
      <w:pPr>
        <w:ind w:left="10712" w:hanging="2160"/>
      </w:pPr>
      <w:rPr>
        <w:vertAlign w:val="baseline"/>
      </w:rPr>
    </w:lvl>
  </w:abstractNum>
  <w:abstractNum w:abstractNumId="2">
    <w:lvl w:ilvl="0">
      <w:start w:val="1"/>
      <w:numFmt w:val="decimal"/>
      <w:lvlText w:val="%1."/>
      <w:lvlJc w:val="left"/>
      <w:pPr>
        <w:ind w:left="1095" w:hanging="390"/>
      </w:pPr>
      <w:rPr>
        <w:vertAlign w:val="baseline"/>
      </w:rPr>
    </w:lvl>
    <w:lvl w:ilvl="1">
      <w:start w:val="1"/>
      <w:numFmt w:val="lowerLetter"/>
      <w:lvlText w:val="%2."/>
      <w:lvlJc w:val="left"/>
      <w:pPr>
        <w:ind w:left="1785" w:hanging="360"/>
      </w:pPr>
      <w:rPr>
        <w:vertAlign w:val="baseline"/>
      </w:rPr>
    </w:lvl>
    <w:lvl w:ilvl="2">
      <w:start w:val="1"/>
      <w:numFmt w:val="lowerRoman"/>
      <w:lvlText w:val="%3."/>
      <w:lvlJc w:val="right"/>
      <w:pPr>
        <w:ind w:left="2505" w:hanging="180"/>
      </w:pPr>
      <w:rPr>
        <w:vertAlign w:val="baseline"/>
      </w:rPr>
    </w:lvl>
    <w:lvl w:ilvl="3">
      <w:start w:val="1"/>
      <w:numFmt w:val="decimal"/>
      <w:lvlText w:val="%4."/>
      <w:lvlJc w:val="left"/>
      <w:pPr>
        <w:ind w:left="3225" w:hanging="360"/>
      </w:pPr>
      <w:rPr>
        <w:vertAlign w:val="baseline"/>
      </w:rPr>
    </w:lvl>
    <w:lvl w:ilvl="4">
      <w:start w:val="1"/>
      <w:numFmt w:val="lowerLetter"/>
      <w:lvlText w:val="%5."/>
      <w:lvlJc w:val="left"/>
      <w:pPr>
        <w:ind w:left="3945" w:hanging="360"/>
      </w:pPr>
      <w:rPr>
        <w:vertAlign w:val="baseline"/>
      </w:rPr>
    </w:lvl>
    <w:lvl w:ilvl="5">
      <w:start w:val="1"/>
      <w:numFmt w:val="lowerRoman"/>
      <w:lvlText w:val="%6."/>
      <w:lvlJc w:val="right"/>
      <w:pPr>
        <w:ind w:left="4665" w:hanging="180"/>
      </w:pPr>
      <w:rPr>
        <w:vertAlign w:val="baseline"/>
      </w:rPr>
    </w:lvl>
    <w:lvl w:ilvl="6">
      <w:start w:val="1"/>
      <w:numFmt w:val="decimal"/>
      <w:lvlText w:val="%7."/>
      <w:lvlJc w:val="left"/>
      <w:pPr>
        <w:ind w:left="5385" w:hanging="360"/>
      </w:pPr>
      <w:rPr>
        <w:vertAlign w:val="baseline"/>
      </w:rPr>
    </w:lvl>
    <w:lvl w:ilvl="7">
      <w:start w:val="1"/>
      <w:numFmt w:val="lowerLetter"/>
      <w:lvlText w:val="%8."/>
      <w:lvlJc w:val="left"/>
      <w:pPr>
        <w:ind w:left="6105" w:hanging="360"/>
      </w:pPr>
      <w:rPr>
        <w:vertAlign w:val="baseline"/>
      </w:rPr>
    </w:lvl>
    <w:lvl w:ilvl="8">
      <w:start w:val="1"/>
      <w:numFmt w:val="lowerRoman"/>
      <w:lvlText w:val="%9."/>
      <w:lvlJc w:val="right"/>
      <w:pPr>
        <w:ind w:left="6825" w:hanging="180"/>
      </w:pPr>
      <w:rPr>
        <w:vertAlign w:val="baseline"/>
      </w:rPr>
    </w:lvl>
  </w:abstractNum>
  <w:abstractNum w:abstractNumId="3">
    <w:lvl w:ilvl="0">
      <w:start w:val="1"/>
      <w:numFmt w:val="decimal"/>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8"/>
      <w:szCs w:val="24"/>
      <w:effect w:val="none"/>
      <w:vertAlign w:val="baseline"/>
      <w:cs w:val="0"/>
      <w:em w:val="none"/>
      <w:lang w:bidi="ar-SA" w:eastAsia="ru-RU" w:val="ru-RU"/>
    </w:rPr>
  </w:style>
  <w:style w:type="paragraph" w:styleId="Заголовок1">
    <w:name w:val="Заголовок 1"/>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Calibri" w:cs="Calibri" w:eastAsia="Times New Roman" w:hAnsi="Calibri"/>
      <w:b w:val="1"/>
      <w:bCs w:val="1"/>
      <w:w w:val="100"/>
      <w:position w:val="-1"/>
      <w:sz w:val="32"/>
      <w:szCs w:val="32"/>
      <w:effect w:val="none"/>
      <w:vertAlign w:val="baseline"/>
      <w:cs w:val="0"/>
      <w:em w:val="none"/>
      <w:lang w:bidi="ar-SA" w:eastAsia="ru-RU" w:val="ru-RU"/>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Абзацсписка">
    <w:name w:val="Абзац списка"/>
    <w:basedOn w:val="Обычный"/>
    <w:next w:val="Абзацсписка"/>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8"/>
      <w:szCs w:val="24"/>
      <w:effect w:val="none"/>
      <w:vertAlign w:val="baseline"/>
      <w:cs w:val="0"/>
      <w:em w:val="none"/>
      <w:lang w:bidi="ar-SA" w:eastAsia="ru-RU" w:val="ru-RU"/>
    </w:rPr>
  </w:style>
  <w:style w:type="paragraph" w:styleId="Название1">
    <w:name w:val="Название1"/>
    <w:basedOn w:val="Обычный"/>
    <w:next w:val="Обычный"/>
    <w:autoRedefine w:val="0"/>
    <w:hidden w:val="0"/>
    <w:qFormat w:val="0"/>
    <w:pPr>
      <w:suppressAutoHyphens w:val="1"/>
      <w:spacing w:line="1" w:lineRule="atLeast"/>
      <w:ind w:right="141" w:leftChars="-1" w:rightChars="0" w:firstLineChars="-1"/>
      <w:jc w:val="center"/>
      <w:textDirection w:val="btLr"/>
      <w:textAlignment w:val="top"/>
      <w:outlineLvl w:val="0"/>
    </w:pPr>
    <w:rPr>
      <w:rFonts w:ascii="Calibri" w:cs="Calibri" w:eastAsia="Times New Roman" w:hAnsi="Calibri"/>
      <w:b w:val="1"/>
      <w:bCs w:val="1"/>
      <w:w w:val="100"/>
      <w:position w:val="-1"/>
      <w:sz w:val="28"/>
      <w:szCs w:val="28"/>
      <w:effect w:val="none"/>
      <w:vertAlign w:val="baseline"/>
      <w:cs w:val="0"/>
      <w:em w:val="none"/>
      <w:lang w:bidi="ar-SA" w:eastAsia="ru-RU" w:val="ru-RU"/>
    </w:rPr>
  </w:style>
  <w:style w:type="paragraph" w:styleId="Обычный(веб)">
    <w:name w:val="Обычный (веб)"/>
    <w:basedOn w:val="Обычный"/>
    <w:next w:val="Обычны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Calibri" w:cs="Calibri" w:eastAsia="Times New Roman" w:hAnsi="Calibri"/>
      <w:w w:val="100"/>
      <w:position w:val="-1"/>
      <w:sz w:val="24"/>
      <w:szCs w:val="24"/>
      <w:effect w:val="none"/>
      <w:vertAlign w:val="baseline"/>
      <w:cs w:val="0"/>
      <w:em w:val="none"/>
      <w:lang w:bidi="ar-SA" w:eastAsia="ru-RU" w:val="ru-RU"/>
    </w:rPr>
  </w:style>
  <w:style w:type="paragraph" w:styleId="Основнойтекст">
    <w:name w:val="Основной текст"/>
    <w:basedOn w:val="Обычный"/>
    <w:next w:val="Основнойтекст"/>
    <w:autoRedefine w:val="0"/>
    <w:hidden w:val="0"/>
    <w:qFormat w:val="1"/>
    <w:pPr>
      <w:suppressAutoHyphens w:val="1"/>
      <w:autoSpaceDE w:val="0"/>
      <w:autoSpaceDN w:val="0"/>
      <w:spacing w:after="220" w:line="220" w:lineRule="atLeast"/>
      <w:ind w:left="840" w:right="-360" w:leftChars="-1" w:rightChars="0" w:firstLineChars="-1"/>
      <w:textDirection w:val="btLr"/>
      <w:textAlignment w:val="top"/>
      <w:outlineLvl w:val="0"/>
    </w:pPr>
    <w:rPr>
      <w:rFonts w:ascii="Times New Roman" w:eastAsia="Times New Roman" w:hAnsi="Times New Roman"/>
      <w:w w:val="100"/>
      <w:position w:val="-1"/>
      <w:sz w:val="20"/>
      <w:szCs w:val="20"/>
      <w:effect w:val="none"/>
      <w:vertAlign w:val="baseline"/>
      <w:cs w:val="0"/>
      <w:em w:val="none"/>
      <w:lang w:bidi="ar-SA" w:eastAsia="ru-RU" w:val="ru-RU"/>
    </w:rPr>
  </w:style>
  <w:style w:type="character" w:styleId="ОсновнойтекстЗнак">
    <w:name w:val="Основной текст Знак"/>
    <w:next w:val="ОсновнойтекстЗнак"/>
    <w:autoRedefine w:val="0"/>
    <w:hidden w:val="0"/>
    <w:qFormat w:val="0"/>
    <w:rPr>
      <w:rFonts w:ascii="Times New Roman" w:cs="Times New Roman" w:eastAsia="Times New Roman" w:hAnsi="Times New Roman"/>
      <w:w w:val="100"/>
      <w:position w:val="-1"/>
      <w:sz w:val="20"/>
      <w:szCs w:val="20"/>
      <w:effect w:val="none"/>
      <w:vertAlign w:val="baseline"/>
      <w:cs w:val="0"/>
      <w:em w:val="none"/>
      <w:lang/>
    </w:rPr>
  </w:style>
  <w:style w:type="paragraph" w:styleId="заголовок1">
    <w:name w:val="заголовок 1"/>
    <w:basedOn w:val="Обычный"/>
    <w:next w:val="Основнойтекст"/>
    <w:autoRedefine w:val="0"/>
    <w:hidden w:val="0"/>
    <w:qFormat w:val="0"/>
    <w:pPr>
      <w:keepNext w:val="1"/>
      <w:keepLines w:val="1"/>
      <w:suppressAutoHyphens w:val="1"/>
      <w:autoSpaceDE w:val="0"/>
      <w:autoSpaceDN w:val="0"/>
      <w:spacing w:line="200" w:lineRule="atLeast"/>
      <w:ind w:left="840" w:right="-360" w:leftChars="-1" w:rightChars="0" w:firstLineChars="-1"/>
      <w:textDirection w:val="btLr"/>
      <w:textAlignment w:val="top"/>
      <w:outlineLvl w:val="0"/>
    </w:pPr>
    <w:rPr>
      <w:rFonts w:ascii="Arial" w:cs="Arial" w:eastAsia="Times New Roman" w:hAnsi="Arial"/>
      <w:b w:val="1"/>
      <w:bCs w:val="1"/>
      <w:spacing w:val="-10"/>
      <w:w w:val="100"/>
      <w:kern w:val="28"/>
      <w:position w:val="-1"/>
      <w:sz w:val="22"/>
      <w:szCs w:val="22"/>
      <w:effect w:val="none"/>
      <w:vertAlign w:val="baseline"/>
      <w:cs w:val="0"/>
      <w:em w:val="none"/>
      <w:lang w:bidi="ar-SA" w:eastAsia="ru-RU" w:val="uk-UA"/>
    </w:rPr>
  </w:style>
  <w:style w:type="paragraph" w:styleId="заголовок2">
    <w:name w:val="заголовок 2"/>
    <w:basedOn w:val="Обычный"/>
    <w:next w:val="Обычный"/>
    <w:autoRedefine w:val="0"/>
    <w:hidden w:val="0"/>
    <w:qFormat w:val="0"/>
    <w:pPr>
      <w:keepNext w:val="1"/>
      <w:suppressAutoHyphens w:val="1"/>
      <w:autoSpaceDE w:val="0"/>
      <w:autoSpaceDN w:val="0"/>
      <w:spacing w:line="1" w:lineRule="atLeast"/>
      <w:ind w:leftChars="-1" w:rightChars="0" w:firstLine="2835" w:firstLineChars="-1"/>
      <w:jc w:val="both"/>
      <w:textDirection w:val="btLr"/>
      <w:textAlignment w:val="top"/>
      <w:outlineLvl w:val="0"/>
    </w:pPr>
    <w:rPr>
      <w:rFonts w:ascii="Bookman Old Style" w:eastAsia="Times New Roman" w:hAnsi="Bookman Old Style"/>
      <w:w w:val="100"/>
      <w:position w:val="-1"/>
      <w:sz w:val="27"/>
      <w:szCs w:val="27"/>
      <w:effect w:val="none"/>
      <w:vertAlign w:val="baseline"/>
      <w:cs w:val="0"/>
      <w:em w:val="none"/>
      <w:lang w:bidi="ar-SA" w:eastAsia="ru-RU" w:val="uk-UA"/>
    </w:rPr>
  </w:style>
  <w:style w:type="table" w:styleId="Сеткатаблицы">
    <w:name w:val="Сетка таблицы"/>
    <w:basedOn w:val="Обычнаятаблица"/>
    <w:next w:val="Сеткатаблицы"/>
    <w:autoRedefine w:val="0"/>
    <w:hidden w:val="0"/>
    <w:qFormat w:val="0"/>
    <w:pPr>
      <w:suppressAutoHyphens w:val="1"/>
      <w:spacing w:after="0" w:line="240" w:lineRule="auto"/>
      <w:ind w:leftChars="-1" w:rightChars="0" w:firstLineChars="-1"/>
      <w:textDirection w:val="btLr"/>
      <w:textAlignment w:val="top"/>
      <w:outlineLvl w:val="0"/>
    </w:pPr>
    <w:rPr>
      <w:w w:val="100"/>
      <w:position w:val="-1"/>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Заголовок1Знак">
    <w:name w:val="Заголовок 1 Знак"/>
    <w:next w:val="Заголовок1Знак"/>
    <w:autoRedefine w:val="0"/>
    <w:hidden w:val="0"/>
    <w:qFormat w:val="0"/>
    <w:rPr>
      <w:rFonts w:ascii="Calibri" w:cs="Calibri" w:eastAsia="Times New Roman" w:hAnsi="Calibri"/>
      <w:b w:val="1"/>
      <w:bCs w:val="1"/>
      <w:w w:val="100"/>
      <w:position w:val="-1"/>
      <w:sz w:val="32"/>
      <w:szCs w:val="32"/>
      <w:effect w:val="none"/>
      <w:vertAlign w:val="baseline"/>
      <w:cs w:val="0"/>
      <w:em w:val="none"/>
      <w:lang w:eastAsia="ru-RU"/>
    </w:rPr>
  </w:style>
  <w:style w:type="paragraph" w:styleId="СтандартныйHTML,Знак">
    <w:name w:val="Стандартный HTML,Знак"/>
    <w:basedOn w:val="Обычный"/>
    <w:next w:val="СтандартныйHTML,Знак"/>
    <w:autoRedefine w:val="0"/>
    <w:hidden w:val="0"/>
    <w:qFormat w:val="0"/>
    <w:pPr>
      <w:suppressAutoHyphens w:val="1"/>
      <w:spacing w:line="1" w:lineRule="atLeast"/>
      <w:ind w:leftChars="-1" w:rightChars="0" w:firstLineChars="-1"/>
      <w:textDirection w:val="btLr"/>
      <w:textAlignment w:val="top"/>
      <w:outlineLvl w:val="0"/>
    </w:pPr>
    <w:rPr>
      <w:rFonts w:ascii="Courier New" w:cs="Courier New" w:eastAsia="Times New Roman" w:hAnsi="Courier New"/>
      <w:color w:val="000000"/>
      <w:w w:val="100"/>
      <w:position w:val="-1"/>
      <w:sz w:val="28"/>
      <w:szCs w:val="28"/>
      <w:effect w:val="none"/>
      <w:vertAlign w:val="baseline"/>
      <w:cs w:val="0"/>
      <w:em w:val="none"/>
      <w:lang w:bidi="ar-SA" w:eastAsia="ru-RU" w:val="ru-RU"/>
    </w:rPr>
  </w:style>
  <w:style w:type="character" w:styleId="СтандартныйHTMLЗнак,ЗнакЗнак">
    <w:name w:val="Стандартный HTML Знак,Знак Знак"/>
    <w:next w:val="СтандартныйHTMLЗнак,ЗнакЗнак"/>
    <w:autoRedefine w:val="0"/>
    <w:hidden w:val="0"/>
    <w:qFormat w:val="0"/>
    <w:rPr>
      <w:rFonts w:ascii="Courier New" w:cs="Courier New" w:eastAsia="Times New Roman" w:hAnsi="Courier New"/>
      <w:color w:val="000000"/>
      <w:w w:val="100"/>
      <w:position w:val="-1"/>
      <w:sz w:val="28"/>
      <w:szCs w:val="28"/>
      <w:effect w:val="none"/>
      <w:vertAlign w:val="baseline"/>
      <w:cs w:val="0"/>
      <w:em w:val="none"/>
      <w:lang w:eastAsia="ru-RU"/>
    </w:rPr>
  </w:style>
  <w:style w:type="paragraph" w:styleId="Текствыноски">
    <w:name w:val="Текст выноски"/>
    <w:basedOn w:val="Обычный"/>
    <w:next w:val="Текствыноски"/>
    <w:autoRedefine w:val="0"/>
    <w:hidden w:val="0"/>
    <w:qFormat w:val="1"/>
    <w:pPr>
      <w:suppressAutoHyphens w:val="1"/>
      <w:spacing w:line="1" w:lineRule="atLeast"/>
      <w:ind w:leftChars="-1" w:rightChars="0" w:firstLineChars="-1"/>
      <w:textDirection w:val="btLr"/>
      <w:textAlignment w:val="top"/>
      <w:outlineLvl w:val="0"/>
    </w:pPr>
    <w:rPr>
      <w:rFonts w:ascii="Segoe UI" w:cs="Segoe UI" w:eastAsia="Times New Roman" w:hAnsi="Segoe UI"/>
      <w:w w:val="100"/>
      <w:position w:val="-1"/>
      <w:sz w:val="18"/>
      <w:szCs w:val="18"/>
      <w:effect w:val="none"/>
      <w:vertAlign w:val="baseline"/>
      <w:cs w:val="0"/>
      <w:em w:val="none"/>
      <w:lang w:bidi="ar-SA" w:eastAsia="ru-RU" w:val="ru-RU"/>
    </w:rPr>
  </w:style>
  <w:style w:type="character" w:styleId="ТекствыноскиЗнак">
    <w:name w:val="Текст выноски Знак"/>
    <w:next w:val="ТекствыноскиЗнак"/>
    <w:autoRedefine w:val="0"/>
    <w:hidden w:val="0"/>
    <w:qFormat w:val="0"/>
    <w:rPr>
      <w:rFonts w:ascii="Segoe UI" w:cs="Segoe UI" w:eastAsia="Times New Roman" w:hAnsi="Segoe UI"/>
      <w:w w:val="100"/>
      <w:position w:val="-1"/>
      <w:sz w:val="18"/>
      <w:szCs w:val="18"/>
      <w:effect w:val="none"/>
      <w:vertAlign w:val="baseline"/>
      <w:cs w:val="0"/>
      <w:em w:val="none"/>
      <w:lang/>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IiN0WocJAtvlsXnoqhWZoXUfA==">AMUW2mX0Pf8X8yNRBOEKzpLj7nPTonIX1scgejhGMIMrhqhMT26m/XxMRrL5gTPkcV10S/v7YazONX/p0C8D3EK6BYbbSuupa6O+NjErYZPZkAQ/9zcZEutm3PTjXKHWtOZLQO5xBxj0TrN6KIjNdfV6lnxWeQi2FA==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2022-11-18T08:16:00Z</dcterms:created>
  <dc:creator>Пользователь Windows</dc:creator>
</cp:coreProperties>
</file>